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D742F">
      <w:pPr>
        <w:pStyle w:val="28"/>
        <w:spacing w:line="345" w:lineRule="atLeas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Formularul nr. 10 - Prognoza cheltuielilor</w:t>
      </w:r>
    </w:p>
    <w:tbl>
      <w:tblPr>
        <w:tblStyle w:val="5"/>
        <w:tblW w:w="91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5762"/>
        <w:gridCol w:w="925"/>
        <w:gridCol w:w="1718"/>
      </w:tblGrid>
      <w:tr w14:paraId="58E19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9D08E"/>
            <w:vAlign w:val="center"/>
          </w:tcPr>
          <w:p w14:paraId="2C4B1E99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Prognoza cheltuielilor</w:t>
            </w:r>
          </w:p>
        </w:tc>
      </w:tr>
      <w:tr w14:paraId="7C6C9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1EEDA"/>
            <w:vAlign w:val="center"/>
          </w:tcPr>
          <w:p w14:paraId="6214F8F1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Nr. Crt.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1EEDA"/>
            <w:vAlign w:val="center"/>
          </w:tcPr>
          <w:p w14:paraId="599F2CE9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Categoria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1EEDA"/>
            <w:vAlign w:val="center"/>
          </w:tcPr>
          <w:p w14:paraId="4A8ACE0C">
            <w:pPr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UM</w:t>
            </w:r>
          </w:p>
          <w:p w14:paraId="59200A15">
            <w:pPr>
              <w:rPr>
                <w:rFonts w:hint="default" w:ascii="Trebuchet MS" w:hAnsi="Trebuchet MS" w:cs="Calibri"/>
                <w:b/>
                <w:bCs/>
                <w:color w:val="000000"/>
                <w:szCs w:val="24"/>
                <w:lang w:val="ro-RO"/>
              </w:rPr>
            </w:pPr>
            <w:r>
              <w:rPr>
                <w:rFonts w:hint="default" w:ascii="Trebuchet MS" w:hAnsi="Trebuchet MS" w:cs="Calibri"/>
                <w:b/>
                <w:bCs/>
                <w:color w:val="000000"/>
                <w:szCs w:val="24"/>
                <w:lang w:val="ro-RO"/>
              </w:rPr>
              <w:t>(Lei)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1EEDA"/>
            <w:vAlign w:val="center"/>
          </w:tcPr>
          <w:p w14:paraId="5C534D5E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  <w:lang w:val="ro-RO"/>
              </w:rPr>
            </w:pPr>
          </w:p>
          <w:p w14:paraId="180FE33B">
            <w:pPr>
              <w:jc w:val="center"/>
              <w:rPr>
                <w:rFonts w:hint="default" w:ascii="Trebuchet MS" w:hAnsi="Trebuchet MS" w:cs="Calibri"/>
                <w:b/>
                <w:bCs/>
                <w:color w:val="000000"/>
                <w:szCs w:val="24"/>
                <w:lang w:val="ro-RO"/>
              </w:rPr>
            </w:pPr>
            <w:r>
              <w:rPr>
                <w:rFonts w:hint="default" w:ascii="Trebuchet MS" w:hAnsi="Trebuchet MS" w:cs="Calibri"/>
                <w:b/>
                <w:bCs/>
                <w:color w:val="000000"/>
                <w:szCs w:val="24"/>
                <w:lang w:val="ro-RO"/>
              </w:rPr>
              <w:t>Valoare prognozată totală</w:t>
            </w:r>
          </w:p>
          <w:p w14:paraId="4A0F6F4F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  <w:lang w:val="ro-RO"/>
              </w:rPr>
              <w:t>31</w:t>
            </w: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luni</w:t>
            </w:r>
          </w:p>
          <w:p w14:paraId="4D2E1871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(implementare 1</w:t>
            </w:r>
            <w:r>
              <w:rPr>
                <w:rFonts w:ascii="Trebuchet MS" w:hAnsi="Trebuchet MS" w:cs="Calibri"/>
                <w:b/>
                <w:bCs/>
                <w:color w:val="000000"/>
                <w:szCs w:val="24"/>
                <w:lang w:val="ro-RO"/>
              </w:rPr>
              <w:t>8</w:t>
            </w: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luni si susternabilitate </w:t>
            </w:r>
            <w:r>
              <w:rPr>
                <w:rFonts w:ascii="Trebuchet MS" w:hAnsi="Trebuchet MS" w:cs="Calibri"/>
                <w:b/>
                <w:bCs/>
                <w:color w:val="000000"/>
                <w:szCs w:val="24"/>
                <w:lang w:val="ro-RO"/>
              </w:rPr>
              <w:t>13</w:t>
            </w: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 xml:space="preserve"> luni)     </w:t>
            </w:r>
          </w:p>
        </w:tc>
      </w:tr>
      <w:tr w14:paraId="78C75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59DB8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I.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085DE">
            <w:pPr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Cheltuieli cu taxe/ abonamente/ cotizații/ acorduri/ autorizații necesare pentru implementarea proiectului: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5DC7064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4D05E8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2D962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FD38E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 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971F">
            <w:pPr>
              <w:rPr>
                <w:rFonts w:ascii="Trebuchet MS" w:hAnsi="Trebuchet MS" w:cs="Calibri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Taxe pentru înființarea entitatii juridice*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359645F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76C376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15762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539E2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II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A957B">
            <w:pPr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Cheltuieli cu subventii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BA5454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E5EC9F1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50101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3592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105F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1. Cheltuieli cu salariile personalului nou angajat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B00F93C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F663BC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02871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4FE75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1.1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29529">
            <w:pPr>
              <w:rPr>
                <w:rFonts w:ascii="Trebuchet MS" w:hAnsi="Trebuchet MS" w:cs="Calibri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1.1. Cheltuieli salariale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6312ABF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741CDF6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37341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3C815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1.2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F866E">
            <w:pPr>
              <w:rPr>
                <w:rFonts w:ascii="Trebuchet MS" w:hAnsi="Trebuchet MS" w:cs="Calibri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1.2 Venituri asimilate salariilor pentru experți proprii/ cooptați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CA4E84D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D70B09C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18131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5C0F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1.3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58D88">
            <w:pPr>
              <w:rPr>
                <w:rFonts w:ascii="Trebuchet MS" w:hAnsi="Trebuchet MS" w:cs="Calibri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1.3. Contribuţii sociale aferente cheltuielilor salariale şi cheltuielilor asimilate acestora (contribuţii angajaţi şi angajatori)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BF36B5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46955F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40650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5093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2.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DDC1D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2. Cheltuieli cu deplasarea personalului întreprinderilor sprijinite: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4B20DAA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DC3176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0B132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8F668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2.1.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1DF88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2.1 Cheltuieli pentru cazare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5491FAD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150FD5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36F28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9D819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2.2.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43A95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2.2 Cheltuieli cu diurna personalului propriu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6B8379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438ED41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5FEF4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524BD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2.3.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F16D7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2.3 Cheltuieli pentru transportul persoanelor (inclusiv transportul efectuat cu mijloacele de transport în comun sau taxi, gară, autogară sau port şi locul delegării ori locul de cazare, precum şi transportul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ABC081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A8EB62A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72681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7B608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2.4.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F5B86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2.4 Taxe şi asigurări de călătorie și asigurări medicale aferente deplasării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FB6FF04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A622668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18E88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5B41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3.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A9EA9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3. Cheltuieli aferente diverselor achiziţii de servicii specializate, pentru care beneficiarul ajutorului de minimis nu are expertiza necesară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9558F44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265DD54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7AAA2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76108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4.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22722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4. Cheltuieli cu achiziția de active fixe corporale (altele decât terenuri și imobile), obiecte de inventar, materii prime și materiale, inclusiv materiale consumabile, alte cheltuieli pentru investiţii necesare funcţionării întreprinderilor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EC3F1CE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E205D5A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11104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723D">
            <w:pPr>
              <w:jc w:val="center"/>
              <w:rPr>
                <w:rFonts w:hint="default" w:ascii="Trebuchet MS" w:hAnsi="Trebuchet MS" w:cs="Calibri"/>
                <w:color w:val="000000"/>
                <w:szCs w:val="24"/>
                <w:lang w:val="ro-RO"/>
              </w:rPr>
            </w:pPr>
            <w:r>
              <w:rPr>
                <w:rFonts w:hint="default" w:ascii="Trebuchet MS" w:hAnsi="Trebuchet MS" w:cs="Calibri"/>
                <w:color w:val="000000"/>
                <w:szCs w:val="24"/>
                <w:lang w:val="ro-RO"/>
              </w:rPr>
              <w:t>4.1.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C954">
            <w:pPr>
              <w:rPr>
                <w:rFonts w:hint="default" w:ascii="Trebuchet MS" w:hAnsi="Trebuchet MS" w:cs="Calibri"/>
                <w:i/>
                <w:iCs/>
                <w:color w:val="000000"/>
                <w:szCs w:val="24"/>
                <w:lang w:val="ro-RO"/>
              </w:rPr>
            </w:pPr>
            <w:r>
              <w:rPr>
                <w:rFonts w:hint="default" w:ascii="Trebuchet MS" w:hAnsi="Trebuchet MS" w:cs="Calibri"/>
                <w:i/>
                <w:iCs/>
                <w:color w:val="000000"/>
                <w:szCs w:val="24"/>
                <w:lang w:val="ro-RO"/>
              </w:rPr>
              <w:t>4.1. Mijloc fix 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1E1A775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7F07A9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</w:p>
        </w:tc>
      </w:tr>
      <w:tr w14:paraId="63CDE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A3834">
            <w:pPr>
              <w:jc w:val="center"/>
              <w:rPr>
                <w:rFonts w:hint="default" w:ascii="Trebuchet MS" w:hAnsi="Trebuchet MS" w:cs="Calibri"/>
                <w:color w:val="000000"/>
                <w:szCs w:val="24"/>
                <w:lang w:val="ro-RO"/>
              </w:rPr>
            </w:pPr>
            <w:r>
              <w:rPr>
                <w:rFonts w:hint="default" w:ascii="Trebuchet MS" w:hAnsi="Trebuchet MS" w:cs="Calibri"/>
                <w:color w:val="000000"/>
                <w:szCs w:val="24"/>
                <w:lang w:val="ro-RO"/>
              </w:rPr>
              <w:t>4.2.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E4042">
            <w:pPr>
              <w:rPr>
                <w:rFonts w:hint="default" w:ascii="Trebuchet MS" w:hAnsi="Trebuchet MS" w:cs="Calibri"/>
                <w:i/>
                <w:iCs/>
                <w:color w:val="000000"/>
                <w:szCs w:val="24"/>
                <w:lang w:val="ro-RO"/>
              </w:rPr>
            </w:pPr>
            <w:r>
              <w:rPr>
                <w:rFonts w:hint="default" w:ascii="Trebuchet MS" w:hAnsi="Trebuchet MS" w:cs="Calibri"/>
                <w:i/>
                <w:iCs/>
                <w:color w:val="000000"/>
                <w:szCs w:val="24"/>
                <w:lang w:val="ro-RO"/>
              </w:rPr>
              <w:t>4.2. Mijloc fix 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237D604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A9DE56B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</w:p>
        </w:tc>
      </w:tr>
      <w:tr w14:paraId="2F59E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C9006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5.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2A18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5. Cheltuieli cu închirierea de sedii (inclusiv depozite), spații pentru desfășurarea diverselor activități ale întreprinderii, echipamente, vehicule, diverse bunuri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AB1B48F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E68A3A0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7FBC1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27A65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6.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4071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6. Cheltuieli de leasing fără achiziție (leasing operațional) aferente funcţionării întreprinderilor (rate de leasing operațional plătite de întreprindere pentru: echipamente, vehicule, diverse bunuri mobile și imobile)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CAB2165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C2CDA3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744EE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FA5B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7.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6694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7. Utilităţi aferente funcţionării întreprinderilor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BD4F670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3FEE2C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0B1CC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6B48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8.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55BD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8. Servicii de administrare a clădirilor aferente funcţionării întreprinderilor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1AC106D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0FED421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377D6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5CE02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9.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D1BE3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9. Servicii de întreţinere şi reparare de echipamente şi mijloace de transport aferente funcţionării întreprinderilor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693A24A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8C5CE04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718B0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8051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10.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38222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10. Arhivare de documente aferente funcţionării întreprinderilor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DA442F8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1A9FE3D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2EB7F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0816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11.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035B2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11. Amortizare de active aferente funcţionării întreprinderilor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AE8B154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BE797D0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0A9A4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C2D2D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12.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F0A9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12. Cheltuieli financiare şi juridice (notariale) aferente funcţionării întreprinderilor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C167104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3FA7654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20BB6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A34D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13.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7AA18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13. Conectare la reţele informatice aferente funcţionării întreprinderilor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EC554D9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3550C07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6E6A5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EB583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14.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642A6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14. Cheltuieli de informare şi publicitate aferente funcţionării întreprinderilor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7B7AEE5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CBD8A2A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5E21C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1BA22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15.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603B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15. Alte cheltuieli aferente funcţionării întreprinderilor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4EE5B8D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73B045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42CBB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AE2B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15.1.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F8D99">
            <w:pPr>
              <w:rPr>
                <w:rFonts w:ascii="Trebuchet MS" w:hAnsi="Trebuchet MS" w:cs="Calibri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15.1. Prelucrare de date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7580896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74E52CF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23F62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BC3D0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15.2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CE18">
            <w:pPr>
              <w:rPr>
                <w:rFonts w:ascii="Trebuchet MS" w:hAnsi="Trebuchet MS" w:cs="Calibri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15.2. Întreţinere, actualizare şi dezvoltare de aplicaţii informatice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31625CA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3B4A3A0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7D3ED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8004F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15.3.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0B93B">
            <w:pPr>
              <w:rPr>
                <w:rFonts w:ascii="Trebuchet MS" w:hAnsi="Trebuchet MS" w:cs="Calibri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15.3. Achiziţionare de publicaţii, cărţi, reviste de specialitate relevante pentru operaţiune, în format tipărit şi/sau electronic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D1EE0CD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4A3068C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69A3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D8C2A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15.4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0DFC">
            <w:pPr>
              <w:rPr>
                <w:rFonts w:ascii="Trebuchet MS" w:hAnsi="Trebuchet MS" w:cs="Calibri"/>
                <w:i/>
                <w:iCs/>
                <w:color w:val="000000"/>
                <w:szCs w:val="24"/>
              </w:rPr>
            </w:pPr>
            <w:r>
              <w:rPr>
                <w:rFonts w:ascii="Trebuchet MS" w:hAnsi="Trebuchet MS" w:cs="Calibri"/>
                <w:i/>
                <w:iCs/>
                <w:color w:val="000000"/>
                <w:szCs w:val="24"/>
              </w:rPr>
              <w:t>15.4. Concesiuni, brevete, licenţe, mărci comerciale, drepturi şi active similare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8805795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EACE39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449A9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A46C7">
            <w:pPr>
              <w:jc w:val="center"/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16.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A206D">
            <w:pPr>
              <w:rPr>
                <w:rFonts w:ascii="Trebuchet MS" w:hAnsi="Trebuchet MS" w:cs="Calibri"/>
                <w:color w:val="000000"/>
                <w:szCs w:val="24"/>
              </w:rPr>
            </w:pPr>
            <w:r>
              <w:rPr>
                <w:rFonts w:ascii="Trebuchet MS" w:hAnsi="Trebuchet MS" w:cs="Calibri"/>
                <w:color w:val="000000"/>
                <w:szCs w:val="24"/>
              </w:rPr>
              <w:t>16. Cheltuielile aferente garanțiilor oferite de bănci sau alte instituții financiare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C4AD129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D46EA6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</w:tr>
      <w:tr w14:paraId="250C1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9D08E"/>
            <w:vAlign w:val="center"/>
          </w:tcPr>
          <w:p w14:paraId="7ADDFD7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9D08E"/>
            <w:vAlign w:val="center"/>
          </w:tcPr>
          <w:p w14:paraId="315112A0">
            <w:pPr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Cheltuieli  - total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9D08E"/>
            <w:vAlign w:val="center"/>
          </w:tcPr>
          <w:p w14:paraId="0E4442B2">
            <w:pPr>
              <w:ind w:firstLine="220" w:firstLineChars="100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9D08E"/>
          </w:tcPr>
          <w:p w14:paraId="6BBF4D79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Cs w:val="24"/>
              </w:rPr>
              <w:t>0</w:t>
            </w:r>
          </w:p>
        </w:tc>
      </w:tr>
      <w:tr w14:paraId="43F6F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6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EFFB1">
            <w:pPr>
              <w:rPr>
                <w:rFonts w:ascii="Trebuchet MS" w:hAnsi="Trebuchet MS" w:cs="Calibri"/>
                <w:color w:val="000000"/>
                <w:sz w:val="2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40BE8">
            <w:pPr>
              <w:rPr>
                <w:rFonts w:ascii="Trebuchet MS" w:hAnsi="Trebuchet MS" w:cs="Calibri"/>
                <w:color w:val="000000"/>
                <w:sz w:val="20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99E9E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</w:tr>
      <w:tr w14:paraId="29869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21306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0C943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5E163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468D6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</w:tr>
      <w:tr w14:paraId="03734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0246A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5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11B0E1">
            <w:pPr>
              <w:jc w:val="right"/>
              <w:rPr>
                <w:rFonts w:ascii="Trebuchet MS" w:hAnsi="Trebuchet MS" w:cs="Calibri"/>
                <w:b/>
                <w:bCs/>
                <w:sz w:val="2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4"/>
              </w:rPr>
              <w:t>Reprezentant legal / aplicant: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BB6E52">
            <w:pPr>
              <w:jc w:val="right"/>
              <w:rPr>
                <w:rFonts w:ascii="Trebuchet MS" w:hAnsi="Trebuchet MS" w:cs="Calibri"/>
                <w:b/>
                <w:bCs/>
                <w:sz w:val="2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1DAC">
            <w:pPr>
              <w:jc w:val="right"/>
              <w:rPr>
                <w:rFonts w:ascii="Trebuchet MS" w:hAnsi="Trebuchet MS" w:cs="Calibri"/>
                <w:b/>
                <w:bCs/>
                <w:sz w:val="20"/>
                <w:szCs w:val="24"/>
              </w:rPr>
            </w:pPr>
          </w:p>
        </w:tc>
      </w:tr>
      <w:tr w14:paraId="691EB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1DF60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57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936EB1">
            <w:pPr>
              <w:jc w:val="right"/>
              <w:rPr>
                <w:rFonts w:ascii="Trebuchet MS" w:hAnsi="Trebuchet MS" w:cs="Calibri"/>
                <w:b/>
                <w:bCs/>
                <w:sz w:val="2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4"/>
              </w:rPr>
              <w:t>semnatura: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0A7037">
            <w:pPr>
              <w:jc w:val="right"/>
              <w:rPr>
                <w:rFonts w:ascii="Trebuchet MS" w:hAnsi="Trebuchet MS" w:cs="Calibri"/>
                <w:b/>
                <w:bCs/>
                <w:sz w:val="2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FC7BF">
            <w:pPr>
              <w:jc w:val="right"/>
              <w:rPr>
                <w:rFonts w:ascii="Trebuchet MS" w:hAnsi="Trebuchet MS" w:cs="Calibri"/>
                <w:b/>
                <w:bCs/>
                <w:sz w:val="20"/>
                <w:szCs w:val="24"/>
              </w:rPr>
            </w:pPr>
          </w:p>
        </w:tc>
      </w:tr>
      <w:tr w14:paraId="3FAD6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610DD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57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91E280">
            <w:pPr>
              <w:jc w:val="right"/>
              <w:rPr>
                <w:rFonts w:ascii="Trebuchet MS" w:hAnsi="Trebuchet MS" w:cs="Calibri"/>
                <w:b/>
                <w:bCs/>
                <w:sz w:val="2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4"/>
              </w:rPr>
              <w:t>data: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AB17C6">
            <w:pPr>
              <w:jc w:val="right"/>
              <w:rPr>
                <w:rFonts w:ascii="Trebuchet MS" w:hAnsi="Trebuchet MS" w:cs="Calibri"/>
                <w:b/>
                <w:bCs/>
                <w:sz w:val="20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BE784">
            <w:pPr>
              <w:jc w:val="right"/>
              <w:rPr>
                <w:rFonts w:ascii="Trebuchet MS" w:hAnsi="Trebuchet MS" w:cs="Calibri"/>
                <w:b/>
                <w:bCs/>
                <w:sz w:val="20"/>
                <w:szCs w:val="24"/>
              </w:rPr>
            </w:pPr>
          </w:p>
        </w:tc>
      </w:tr>
      <w:tr w14:paraId="14FD6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5B2B5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5B9B3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1C9E5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AFCB3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</w:tr>
      <w:tr w14:paraId="33E3E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1D420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3B0BC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FDF5C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895B4">
            <w:pPr>
              <w:rPr>
                <w:rFonts w:ascii="Trebuchet MS" w:hAnsi="Trebuchet MS" w:cs="Times New Roman"/>
                <w:sz w:val="20"/>
                <w:szCs w:val="24"/>
              </w:rPr>
            </w:pPr>
          </w:p>
        </w:tc>
      </w:tr>
      <w:tr w14:paraId="28CF1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224A4">
            <w:pPr>
              <w:rPr>
                <w:rFonts w:ascii="Trebuchet MS" w:hAnsi="Trebuchet MS" w:cs="Calibri"/>
                <w:color w:val="000000"/>
                <w:sz w:val="20"/>
                <w:szCs w:val="24"/>
              </w:rPr>
            </w:pPr>
            <w:r>
              <w:rPr>
                <w:rFonts w:ascii="Trebuchet MS" w:hAnsi="Trebuchet MS" w:cs="Calibri"/>
                <w:color w:val="000000"/>
                <w:sz w:val="20"/>
                <w:szCs w:val="24"/>
              </w:rPr>
              <w:t>* Cheltuiala aferentă taxelor pentru înființarea entitatii juridice, după semnarea contractului de subvenție efectuată înaintea semnării contractului de subvenție, se decontează către beneficiarii de ajutor de minimis.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49619">
            <w:pPr>
              <w:rPr>
                <w:rFonts w:ascii="Trebuchet MS" w:hAnsi="Trebuchet MS" w:cs="Calibri"/>
                <w:color w:val="000000"/>
                <w:sz w:val="20"/>
                <w:szCs w:val="24"/>
              </w:rPr>
            </w:pPr>
          </w:p>
        </w:tc>
      </w:tr>
      <w:tr w14:paraId="596C3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952B6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8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6D2A7">
            <w:pPr>
              <w:rPr>
                <w:rFonts w:ascii="Trebuchet MS" w:hAnsi="Trebuchet MS" w:cs="Calibri"/>
                <w:color w:val="000000"/>
                <w:sz w:val="20"/>
                <w:szCs w:val="24"/>
              </w:rPr>
            </w:pPr>
          </w:p>
        </w:tc>
      </w:tr>
      <w:tr w14:paraId="78CA8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C7B3E">
            <w:pPr>
              <w:rPr>
                <w:rFonts w:ascii="Trebuchet MS" w:hAnsi="Trebuchet MS" w:cs="Calibri"/>
                <w:color w:val="000000"/>
                <w:szCs w:val="24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C654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3EF6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D30EB">
            <w:pPr>
              <w:rPr>
                <w:rFonts w:ascii="Trebuchet MS" w:hAnsi="Trebuchet MS" w:cs="Times New Roman"/>
                <w:szCs w:val="24"/>
              </w:rPr>
            </w:pPr>
          </w:p>
        </w:tc>
      </w:tr>
    </w:tbl>
    <w:p w14:paraId="46606DBE">
      <w:pPr>
        <w:spacing w:before="120" w:after="120"/>
        <w:jc w:val="both"/>
      </w:pPr>
      <w:bookmarkStart w:id="0" w:name="_GoBack"/>
      <w:bookmarkEnd w:id="0"/>
    </w:p>
    <w:sectPr>
      <w:headerReference r:id="rId5" w:type="default"/>
      <w:footerReference r:id="rId6" w:type="default"/>
      <w:pgSz w:w="12240" w:h="15840"/>
      <w:pgMar w:top="710" w:right="1440" w:bottom="1440" w:left="1440" w:header="517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Helvetica">
    <w:altName w:val="Arial"/>
    <w:panose1 w:val="020B0604020202020204"/>
    <w:charset w:val="EE"/>
    <w:family w:val="swiss"/>
    <w:pitch w:val="default"/>
    <w:sig w:usb0="00000000" w:usb1="00000000" w:usb2="00000009" w:usb3="00000000" w:csb0="0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88C12">
    <w:pPr>
      <w:pStyle w:val="8"/>
      <w:jc w:val="center"/>
    </w:pPr>
    <w:r>
      <w:rPr>
        <w:lang w:eastAsia="ro-RO"/>
      </w:rPr>
      <w:drawing>
        <wp:inline distT="0" distB="0" distL="114300" distR="114300">
          <wp:extent cx="2560320" cy="95059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032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F0768">
    <w:pPr>
      <w:pStyle w:val="11"/>
      <w:jc w:val="center"/>
      <w:rPr>
        <w:rFonts w:ascii="Trebuchet MS" w:hAnsi="Trebuchet MS"/>
        <w:sz w:val="18"/>
        <w:szCs w:val="18"/>
      </w:rPr>
    </w:pPr>
    <w:r>
      <w:rPr>
        <w:lang w:val="ro-RO" w:eastAsia="ro-RO"/>
      </w:rPr>
      <w:drawing>
        <wp:inline distT="0" distB="0" distL="0" distR="0">
          <wp:extent cx="5358765" cy="664210"/>
          <wp:effectExtent l="0" t="0" r="0" b="2540"/>
          <wp:docPr id="882625701" name="Picture 882625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625701" name="Picture 8826257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587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5C9"/>
    <w:rsid w:val="000439EB"/>
    <w:rsid w:val="000453C3"/>
    <w:rsid w:val="000A0A0E"/>
    <w:rsid w:val="000A2B77"/>
    <w:rsid w:val="000B2442"/>
    <w:rsid w:val="000B5D1F"/>
    <w:rsid w:val="0015036B"/>
    <w:rsid w:val="00172A27"/>
    <w:rsid w:val="001821DC"/>
    <w:rsid w:val="001923FD"/>
    <w:rsid w:val="001B09E1"/>
    <w:rsid w:val="001B0B50"/>
    <w:rsid w:val="001F107E"/>
    <w:rsid w:val="001F156E"/>
    <w:rsid w:val="00202E0A"/>
    <w:rsid w:val="00285702"/>
    <w:rsid w:val="00296A95"/>
    <w:rsid w:val="002C1F07"/>
    <w:rsid w:val="002E2B79"/>
    <w:rsid w:val="00327C62"/>
    <w:rsid w:val="00346631"/>
    <w:rsid w:val="00391E51"/>
    <w:rsid w:val="003A0CD8"/>
    <w:rsid w:val="003D5802"/>
    <w:rsid w:val="00405E7F"/>
    <w:rsid w:val="0043336A"/>
    <w:rsid w:val="00464C6C"/>
    <w:rsid w:val="004840CA"/>
    <w:rsid w:val="00484DEA"/>
    <w:rsid w:val="004861AE"/>
    <w:rsid w:val="004C36F1"/>
    <w:rsid w:val="004F6D28"/>
    <w:rsid w:val="005329CE"/>
    <w:rsid w:val="00550043"/>
    <w:rsid w:val="00574D35"/>
    <w:rsid w:val="00590BE1"/>
    <w:rsid w:val="005C667D"/>
    <w:rsid w:val="005F29FC"/>
    <w:rsid w:val="00603F0F"/>
    <w:rsid w:val="00614EBC"/>
    <w:rsid w:val="006712F0"/>
    <w:rsid w:val="0069297D"/>
    <w:rsid w:val="00724657"/>
    <w:rsid w:val="00752EAE"/>
    <w:rsid w:val="00792A1E"/>
    <w:rsid w:val="007B24B2"/>
    <w:rsid w:val="007C2376"/>
    <w:rsid w:val="007E3CF4"/>
    <w:rsid w:val="007F2836"/>
    <w:rsid w:val="0081452A"/>
    <w:rsid w:val="0082025B"/>
    <w:rsid w:val="008469EB"/>
    <w:rsid w:val="0088199D"/>
    <w:rsid w:val="008A36A9"/>
    <w:rsid w:val="008C7B59"/>
    <w:rsid w:val="008D69F8"/>
    <w:rsid w:val="009056B4"/>
    <w:rsid w:val="009A4DC7"/>
    <w:rsid w:val="009C0186"/>
    <w:rsid w:val="009F74B2"/>
    <w:rsid w:val="00A308AE"/>
    <w:rsid w:val="00A35988"/>
    <w:rsid w:val="00A37D05"/>
    <w:rsid w:val="00A51719"/>
    <w:rsid w:val="00A5329D"/>
    <w:rsid w:val="00A76B35"/>
    <w:rsid w:val="00AA03F8"/>
    <w:rsid w:val="00AA2962"/>
    <w:rsid w:val="00AD19A5"/>
    <w:rsid w:val="00AF0B6F"/>
    <w:rsid w:val="00B0054C"/>
    <w:rsid w:val="00B240FF"/>
    <w:rsid w:val="00B32970"/>
    <w:rsid w:val="00B459A1"/>
    <w:rsid w:val="00B57B58"/>
    <w:rsid w:val="00B74CF4"/>
    <w:rsid w:val="00C065C3"/>
    <w:rsid w:val="00C37883"/>
    <w:rsid w:val="00CC6638"/>
    <w:rsid w:val="00CE2C74"/>
    <w:rsid w:val="00CF5010"/>
    <w:rsid w:val="00D02D7E"/>
    <w:rsid w:val="00D41E8A"/>
    <w:rsid w:val="00D4529E"/>
    <w:rsid w:val="00D47654"/>
    <w:rsid w:val="00D55B0D"/>
    <w:rsid w:val="00D6214E"/>
    <w:rsid w:val="00D823D5"/>
    <w:rsid w:val="00D83081"/>
    <w:rsid w:val="00D93449"/>
    <w:rsid w:val="00DE4AB1"/>
    <w:rsid w:val="00E3293C"/>
    <w:rsid w:val="00E536AF"/>
    <w:rsid w:val="00E66328"/>
    <w:rsid w:val="00E8026F"/>
    <w:rsid w:val="00EB4CF4"/>
    <w:rsid w:val="00EC1B0F"/>
    <w:rsid w:val="00ED7816"/>
    <w:rsid w:val="00EE5AEF"/>
    <w:rsid w:val="00EE7428"/>
    <w:rsid w:val="00F02FA3"/>
    <w:rsid w:val="00F4225B"/>
    <w:rsid w:val="00F97ACE"/>
    <w:rsid w:val="00FB4663"/>
    <w:rsid w:val="00FD763F"/>
    <w:rsid w:val="03204AD8"/>
    <w:rsid w:val="03A37F17"/>
    <w:rsid w:val="03E302DD"/>
    <w:rsid w:val="0974764A"/>
    <w:rsid w:val="0C360278"/>
    <w:rsid w:val="0C522FFA"/>
    <w:rsid w:val="0D974A90"/>
    <w:rsid w:val="0DFF68B4"/>
    <w:rsid w:val="19E01335"/>
    <w:rsid w:val="1B5F6E3D"/>
    <w:rsid w:val="1BAE6DDB"/>
    <w:rsid w:val="1C9C6D7D"/>
    <w:rsid w:val="1D5315E3"/>
    <w:rsid w:val="1E645CD5"/>
    <w:rsid w:val="20572A9B"/>
    <w:rsid w:val="207F5F97"/>
    <w:rsid w:val="20947C82"/>
    <w:rsid w:val="232375C7"/>
    <w:rsid w:val="26DA5E4E"/>
    <w:rsid w:val="275F7A07"/>
    <w:rsid w:val="276942CD"/>
    <w:rsid w:val="2B7661DC"/>
    <w:rsid w:val="2BAE26FC"/>
    <w:rsid w:val="2CF61DF4"/>
    <w:rsid w:val="2DA975A8"/>
    <w:rsid w:val="2E93386D"/>
    <w:rsid w:val="2EF1763E"/>
    <w:rsid w:val="2FD56706"/>
    <w:rsid w:val="2FF97CE8"/>
    <w:rsid w:val="30EB3A9F"/>
    <w:rsid w:val="32AD727A"/>
    <w:rsid w:val="33A84E27"/>
    <w:rsid w:val="36441D72"/>
    <w:rsid w:val="381C311D"/>
    <w:rsid w:val="39BE02CB"/>
    <w:rsid w:val="3A467DBD"/>
    <w:rsid w:val="419E37DC"/>
    <w:rsid w:val="42F609E7"/>
    <w:rsid w:val="44256EDB"/>
    <w:rsid w:val="45104268"/>
    <w:rsid w:val="46BA2397"/>
    <w:rsid w:val="46DA0556"/>
    <w:rsid w:val="47F43190"/>
    <w:rsid w:val="48696BB6"/>
    <w:rsid w:val="4AD621D7"/>
    <w:rsid w:val="4CF33F77"/>
    <w:rsid w:val="4DEA5F62"/>
    <w:rsid w:val="4DFE0EA0"/>
    <w:rsid w:val="4E84621B"/>
    <w:rsid w:val="50657404"/>
    <w:rsid w:val="50893B65"/>
    <w:rsid w:val="50B55D06"/>
    <w:rsid w:val="517522A6"/>
    <w:rsid w:val="5645400E"/>
    <w:rsid w:val="57283EA4"/>
    <w:rsid w:val="585D4209"/>
    <w:rsid w:val="58851A97"/>
    <w:rsid w:val="59053834"/>
    <w:rsid w:val="599320EC"/>
    <w:rsid w:val="5A594842"/>
    <w:rsid w:val="60B84905"/>
    <w:rsid w:val="612B657A"/>
    <w:rsid w:val="613072F7"/>
    <w:rsid w:val="615E0776"/>
    <w:rsid w:val="63B24313"/>
    <w:rsid w:val="644809AE"/>
    <w:rsid w:val="65092DEF"/>
    <w:rsid w:val="6521617A"/>
    <w:rsid w:val="65F9531D"/>
    <w:rsid w:val="66183441"/>
    <w:rsid w:val="683233A8"/>
    <w:rsid w:val="68DE30E3"/>
    <w:rsid w:val="69ED7E58"/>
    <w:rsid w:val="6EBF78C0"/>
    <w:rsid w:val="6F493CC6"/>
    <w:rsid w:val="6F6F6BE7"/>
    <w:rsid w:val="71BB2FEE"/>
    <w:rsid w:val="734170A4"/>
    <w:rsid w:val="75082A5D"/>
    <w:rsid w:val="75452C97"/>
    <w:rsid w:val="75A01530"/>
    <w:rsid w:val="7B594CC8"/>
    <w:rsid w:val="7B98447C"/>
    <w:rsid w:val="7D3D1420"/>
    <w:rsid w:val="7DA3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widowControl w:val="0"/>
      <w:autoSpaceDE w:val="0"/>
      <w:autoSpaceDN w:val="0"/>
      <w:adjustRightInd w:val="0"/>
      <w:outlineLvl w:val="0"/>
    </w:pPr>
    <w:rPr>
      <w:rFonts w:ascii="Tahoma" w:hAnsi="Tahoma" w:cs="Tahoma" w:eastAsiaTheme="minorEastAsia"/>
      <w:szCs w:val="24"/>
      <w:lang w:eastAsia="en-GB"/>
    </w:rPr>
  </w:style>
  <w:style w:type="paragraph" w:styleId="3">
    <w:name w:val="heading 2"/>
    <w:basedOn w:val="1"/>
    <w:next w:val="1"/>
    <w:unhideWhenUsed/>
    <w:qFormat/>
    <w:uiPriority w:val="1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"/>
    <w:basedOn w:val="1"/>
    <w:qFormat/>
    <w:uiPriority w:val="1"/>
    <w:pPr>
      <w:widowControl w:val="0"/>
      <w:shd w:val="clear" w:color="auto" w:fill="FFFFFF"/>
      <w:spacing w:before="180" w:after="180" w:line="177" w:lineRule="exact"/>
      <w:ind w:hanging="300"/>
      <w:jc w:val="both"/>
    </w:pPr>
    <w:rPr>
      <w:rFonts w:ascii="Arial" w:hAnsi="Arial" w:cs="Arial" w:eastAsiaTheme="minorEastAsia"/>
      <w:sz w:val="17"/>
      <w:szCs w:val="17"/>
      <w:lang w:val="en-GB" w:eastAsia="en-GB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footnote reference"/>
    <w:basedOn w:val="4"/>
    <w:semiHidden/>
    <w:unhideWhenUsed/>
    <w:qFormat/>
    <w:uiPriority w:val="99"/>
    <w:rPr>
      <w:vertAlign w:val="superscript"/>
    </w:rPr>
  </w:style>
  <w:style w:type="paragraph" w:styleId="10">
    <w:name w:val="footnote text"/>
    <w:basedOn w:val="1"/>
    <w:unhideWhenUsed/>
    <w:qFormat/>
    <w:uiPriority w:val="99"/>
    <w:rPr>
      <w:rFonts w:cs="Times New Roman"/>
      <w:sz w:val="20"/>
      <w:szCs w:val="20"/>
    </w:rPr>
  </w:style>
  <w:style w:type="paragraph" w:styleId="11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2">
    <w:name w:val="Hyperlink"/>
    <w:basedOn w:val="4"/>
    <w:unhideWhenUsed/>
    <w:qFormat/>
    <w:uiPriority w:val="99"/>
    <w:rPr>
      <w:rFonts w:cs="Times New Roman"/>
      <w:color w:val="0164A5"/>
      <w:u w:val="none"/>
    </w:rPr>
  </w:style>
  <w:style w:type="paragraph" w:styleId="13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szCs w:val="24"/>
    </w:rPr>
  </w:style>
  <w:style w:type="character" w:styleId="14">
    <w:name w:val="page number"/>
    <w:basedOn w:val="4"/>
    <w:qFormat/>
    <w:uiPriority w:val="0"/>
  </w:style>
  <w:style w:type="paragraph" w:styleId="15">
    <w:name w:val="Subtitle"/>
    <w:basedOn w:val="1"/>
    <w:next w:val="1"/>
    <w:qFormat/>
    <w:uiPriority w:val="0"/>
    <w:pPr>
      <w:shd w:val="clear" w:color="auto" w:fill="8EAADB" w:themeFill="accent1" w:themeFillTint="99"/>
      <w:spacing w:before="240" w:after="120"/>
      <w:outlineLvl w:val="1"/>
    </w:pPr>
    <w:rPr>
      <w:rFonts w:ascii="Tahoma" w:hAnsi="Tahoma" w:cs="Tahoma"/>
      <w:b/>
      <w:lang w:val="ro-RO" w:bidi="he-IL"/>
    </w:rPr>
  </w:style>
  <w:style w:type="table" w:styleId="1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link w:val="21"/>
    <w:qFormat/>
    <w:uiPriority w:val="0"/>
    <w:pPr>
      <w:spacing w:before="240" w:after="0" w:line="240" w:lineRule="auto"/>
    </w:pPr>
    <w:rPr>
      <w:rFonts w:ascii="Times New Roman" w:hAnsi="Times New Roman" w:eastAsia="Times New Roman" w:cs="Arial"/>
      <w:b/>
      <w:bCs/>
      <w:sz w:val="24"/>
      <w:szCs w:val="32"/>
    </w:rPr>
  </w:style>
  <w:style w:type="character" w:customStyle="1" w:styleId="18">
    <w:name w:val="Header Char"/>
    <w:basedOn w:val="4"/>
    <w:link w:val="11"/>
    <w:qFormat/>
    <w:uiPriority w:val="99"/>
  </w:style>
  <w:style w:type="character" w:customStyle="1" w:styleId="19">
    <w:name w:val="Footer Char"/>
    <w:basedOn w:val="4"/>
    <w:link w:val="8"/>
    <w:qFormat/>
    <w:uiPriority w:val="99"/>
  </w:style>
  <w:style w:type="character" w:customStyle="1" w:styleId="20">
    <w:name w:val="Balloon Text Char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1">
    <w:name w:val="Title Char"/>
    <w:basedOn w:val="4"/>
    <w:link w:val="17"/>
    <w:qFormat/>
    <w:uiPriority w:val="0"/>
    <w:rPr>
      <w:rFonts w:ascii="Times New Roman" w:hAnsi="Times New Roman" w:eastAsia="Times New Roman" w:cs="Arial"/>
      <w:b/>
      <w:bCs/>
      <w:sz w:val="24"/>
      <w:szCs w:val="32"/>
    </w:rPr>
  </w:style>
  <w:style w:type="paragraph" w:styleId="22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23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ro-RO" w:eastAsia="zh-CN" w:bidi="ar-SA"/>
    </w:rPr>
  </w:style>
  <w:style w:type="paragraph" w:styleId="24">
    <w:name w:val="List Paragraph"/>
    <w:basedOn w:val="1"/>
    <w:qFormat/>
    <w:uiPriority w:val="34"/>
    <w:pPr>
      <w:spacing w:after="160" w:line="259" w:lineRule="auto"/>
      <w:ind w:left="720"/>
      <w:contextualSpacing/>
    </w:pPr>
  </w:style>
  <w:style w:type="table" w:customStyle="1" w:styleId="25">
    <w:name w:val="TableGrid"/>
    <w:qFormat/>
    <w:uiPriority w:val="0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fontstyle01"/>
    <w:basedOn w:val="4"/>
    <w:qFormat/>
    <w:uiPriority w:val="0"/>
    <w:rPr>
      <w:rFonts w:hint="default" w:ascii="Helvetica" w:hAnsi="Helvetica" w:cs="Helvetica"/>
      <w:color w:val="000000"/>
      <w:sz w:val="16"/>
      <w:szCs w:val="16"/>
    </w:rPr>
  </w:style>
  <w:style w:type="character" w:customStyle="1" w:styleId="27">
    <w:name w:val="fontstyle21"/>
    <w:basedOn w:val="4"/>
    <w:qFormat/>
    <w:uiPriority w:val="0"/>
    <w:rPr>
      <w:rFonts w:hint="default" w:ascii="Trebuchet MS" w:hAnsi="Trebuchet MS"/>
      <w:i/>
      <w:iCs/>
      <w:color w:val="1F4E79"/>
      <w:sz w:val="22"/>
      <w:szCs w:val="22"/>
    </w:rPr>
  </w:style>
  <w:style w:type="paragraph" w:customStyle="1" w:styleId="28">
    <w:name w:val="a_l"/>
    <w:basedOn w:val="1"/>
    <w:qFormat/>
    <w:uiPriority w:val="0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29">
    <w:name w:val="fontstyle31"/>
    <w:basedOn w:val="4"/>
    <w:qFormat/>
    <w:uiPriority w:val="0"/>
    <w:rPr>
      <w:rFonts w:hint="default" w:ascii="Trebuchet MS" w:hAnsi="Trebuchet MS"/>
      <w:b/>
      <w:bCs/>
      <w:color w:val="1F4E79"/>
      <w:sz w:val="22"/>
      <w:szCs w:val="22"/>
    </w:rPr>
  </w:style>
  <w:style w:type="paragraph" w:customStyle="1" w:styleId="30">
    <w:name w:val="No Spacing1"/>
    <w:qFormat/>
    <w:uiPriority w:val="0"/>
    <w:rPr>
      <w:rFonts w:ascii="Calibri" w:hAnsi="Calibri" w:eastAsia="Calibri" w:cs="Times New Roman"/>
      <w:sz w:val="22"/>
      <w:szCs w:val="22"/>
      <w:lang w:val="ro-RO" w:eastAsia="en-US" w:bidi="ar-SA"/>
    </w:rPr>
  </w:style>
  <w:style w:type="character" w:customStyle="1" w:styleId="31">
    <w:name w:val="Body text (2) + 12 pt"/>
    <w:qFormat/>
    <w:uiPriority w:val="0"/>
    <w:rPr>
      <w:rFonts w:hint="default" w:ascii="Arial" w:hAnsi="Arial" w:eastAsia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32">
    <w:name w:val="Body Text3"/>
    <w:basedOn w:val="1"/>
    <w:qFormat/>
    <w:uiPriority w:val="0"/>
    <w:pPr>
      <w:shd w:val="clear" w:color="auto" w:fill="FFFFFF"/>
      <w:spacing w:before="180" w:after="60" w:line="269" w:lineRule="exact"/>
      <w:ind w:hanging="360"/>
    </w:pPr>
    <w:rPr>
      <w:rFonts w:ascii="Times New Roman" w:hAnsi="Times New Roman"/>
      <w:sz w:val="20"/>
      <w:szCs w:val="20"/>
      <w:lang w:val="ro-RO" w:eastAsia="ro-RO"/>
    </w:rPr>
  </w:style>
  <w:style w:type="paragraph" w:customStyle="1" w:styleId="33">
    <w:name w:val="Sty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en-GB" w:eastAsia="en-GB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1F880-4E68-4FE6-A084-177F946B8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31088</Words>
  <Characters>177203</Characters>
  <Lines>1476</Lines>
  <Paragraphs>415</Paragraphs>
  <TotalTime>21</TotalTime>
  <ScaleCrop>false</ScaleCrop>
  <LinksUpToDate>false</LinksUpToDate>
  <CharactersWithSpaces>207876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2022-07-11T09:16:00Z</dcterms:created>
  <dc:creator>Raluca Georgiana Barbarasa</dc:creator>
  <cp:lastModifiedBy>const</cp:lastModifiedBy>
  <cp:lastPrinted>2025-05-06T09:33:00Z</cp:lastPrinted>
  <dcterms:modified xsi:type="dcterms:W3CDTF">2025-05-06T11:29:34Z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0B917BBDD73D4321AE7254D5B0C47CDC_13</vt:lpwstr>
  </property>
</Properties>
</file>